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TC" w:hAnsi="Noto Sans TC" w:eastAsia="Noto Sans TC"/>
          <w:b/>
          <w:color w:val="654994"/>
          <w:sz w:val="40"/>
        </w:rPr>
        <w:t>三重區 2025 兒少道路交通事故｜車道精準分析</w:t>
      </w:r>
    </w:p>
    <w:p>
      <w:pPr>
        <w:jc w:val="center"/>
      </w:pPr>
      <w:r>
        <w:rPr>
          <w:rFonts w:ascii="Noto Sans TC" w:hAnsi="Noto Sans TC" w:eastAsia="Noto Sans TC"/>
          <w:b w:val="0"/>
          <w:color w:val="654994"/>
          <w:sz w:val="24"/>
        </w:rPr>
        <w:t>全國兒童安全日記者會 ｜ 警政署 × OpenStreetMap 交叉比對</w:t>
      </w:r>
    </w:p>
    <w:p>
      <w:pPr>
        <w:jc w:val="center"/>
      </w:pPr>
      <w:r>
        <w:rPr>
          <w:rFonts w:ascii="Noto Sans TC" w:hAnsi="Noto Sans TC" w:eastAsia="Noto Sans TC"/>
          <w:b w:val="0"/>
          <w:sz w:val="18"/>
        </w:rPr>
        <w:t>資料：內政部警政署「傷亡道路交通事故資料」365 件三重區 2025 涉未成年事故，經緯度與 OpenStreetMap 道路網交叉比對取得車道數。</w:t>
      </w:r>
    </w:p>
    <w:p/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一、執行摘要</w:t>
      </w:r>
    </w:p>
    <w:p>
      <w:r>
        <w:rPr>
          <w:rFonts w:ascii="Noto Sans TC" w:hAnsi="Noto Sans TC" w:eastAsia="Noto Sans TC"/>
          <w:b w:val="0"/>
          <w:sz w:val="22"/>
        </w:rPr>
        <w:t>本報告針對新北市三重區 2025 全年共 365 件涉及未成年人之傷亡交通事故（A1+A2，已扣除 1 件經緯度遺漏），結合警政署逐案資料與 OpenStreetMap 道路網交叉比對，取得每件事故發生地點對應道路的車道數，進一步分析「路段（單一道路）」與「路口（兩條路交會）」的車道組合，揭露具體政策切點。</w:t>
      </w:r>
    </w:p>
    <w:p>
      <w:r>
        <w:rPr>
          <w:rFonts w:ascii="Noto Sans TC" w:hAnsi="Noto Sans TC" w:eastAsia="Noto Sans TC"/>
          <w:b/>
          <w:sz w:val="22"/>
        </w:rPr>
        <w:t>關鍵發現：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三重區兒少事故並非「大馬路殺手」，而是「**雙線道日常街道殺手**」：60.8% 事故發生在 OSM 標記為 2 線道之道路。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178 件路口事故中，62.1% 屬「**雙線道 × 雙線道**」十字／T 字路口；只有 6.3% 屬「大馬路 × 大馬路」。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365 件中 305 件（83.6%）由成人駕駛、無責歸屬或對方肇逃造成；僅 60 件（16.4%）由兒少自身肇事（兒童 17 件 4.7%、青少年 69 件 18.9%；註：兒少同事故重疊小於 30 件，分母為當事者）。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熱點路口 Top 5 全為雙線道組合：中正北路、三和路、溪尾街、新北大道×重陽路、三信路×五華街。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「車輛未停讓行人」事故 100% 集中在雙線道路（雙線×雙線 7 件、雙線×單線 0 件、大馬路 0 件）— 鄰里街道才是行人最受威脅的地方。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二、資料與方法論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2.1 資料來源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警政署事故資料：data.gov.tw 公開的「113-114 年傷亡道路交通事故資料」逐案當事者明細。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OSM 道路網：透過 Overpass API 取得三重區範圍（25.040–25.105 N、121.460–121.510 E）內所有 highway 元素，共 24,930 個道路節點、7,292 條道路段。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比對方式：每件事故的經緯度，在 OSM 道路網中搜尋 80 公尺內最近的車道道路（已排除人行道、自行車道、樓梯）；取其 lanes 標籤；若 lanes 標籤缺漏，依 highway 類型（primary／secondary／tertiary／residential／service 等）推估。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路口事故的「第二條路」車道：以警政署「發生地點」欄位中的兩條路名，回查 OSM 同名道路的車道數。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2.2 限制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OSM 車道標記覆蓋率不完整：7,292 條路段中僅 703 條有明確 lanes 標籤，餘需依 highway 類型推估。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警政署資料無「車道數」欄位，本報告全程使用 OSM 與推估值。最終為「車道數區間」而非絕對數。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車道分類採 4 段：≥4 線「大馬路」、3 線「中型」、2 線「雙線」、1 線「單線／巷弄」。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365 件中 359 件成功配對（98.4%），6 件未對應（多為高架道路或經緯度落在道路外）。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2.3 百分比讀法（避免混淆）</w:t>
      </w:r>
    </w:p>
    <w:p>
      <w:r>
        <w:rPr>
          <w:rFonts w:ascii="Noto Sans TC" w:hAnsi="Noto Sans TC" w:eastAsia="Noto Sans TC"/>
          <w:b w:val="0"/>
          <w:sz w:val="22"/>
        </w:rPr>
        <w:t>本報告所有百分比皆明確標註「占哪個分母」，例如：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「占 365 件全部事故 60.8%」— 分母為當年全部事故。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「占 178 件路口事故 62.1%」— 分母為路口事故子集。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每張分類表縱列各類別加總均等於該分母總數，可自行核對。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三、車道規模分布（OSM 比對）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3.1 道路車道分類（全部 365 件事故）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車道分類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件數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 365 件比例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說明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🟡 雙線（2 線）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222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60.8%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OSM 標記或推估為 2 車道之道路（社區主要道路、地區街道）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🟢 單線/巷弄（1 線）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23.6%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OSM service／living_street 類，多為巷弄或單向窄路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🟠 中型（3 線）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34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9.3%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OSM secondary 類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🔴 大馬路（≥4 線）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4.7%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OSM primary/trunk 類或標記 ≥4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未對應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1.6%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高架道路或經緯度落在 OSM 道路外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合計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365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100%</w:t>
            </w:r>
          </w:p>
        </w:tc>
        <w:tc>
          <w:tcPr>
            <w:tcW w:type="dxa" w:w="216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觀察：三重區兒少事故主戰場是「**社區雙線道**」（占 60.8%），與「巷弄」（占 23.6%）合計達 84.4%。相對之下，大馬路（≥4 線）只佔 4.7%。這推翻一般認為「大馬路是兒童殺手」的直覺。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四、路口事故車道組合（178 件路口事故拆解）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4.1 兩條路的車道組合分布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路口車道組合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件數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占 178 件路口事故比例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雙線 × 雙線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108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62.1%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雙線 × 單線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9.8%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中型 × 雙線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8.0%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🔴 大馬路 × 大馬路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6.3%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中型 × 單線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4.6%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單線 × 單線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4.0%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中型 × 中型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2.3%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大馬路 × 雙線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1.7%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大馬路 × 中型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0.6%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大馬路 × 單線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0.6%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未能配對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合計（可配對）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174</w:t>
            </w:r>
          </w:p>
        </w:tc>
        <w:tc>
          <w:tcPr>
            <w:tcW w:type="dxa" w:w="28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100%（占 178 件路口事故 97.8%）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關鍵觀察：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「**雙線道交會雙線道**」是三重區兒少路口事故的絕對主流（占路口事故 62.1%，即 108 件）。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「大馬路 × 大馬路」（如新北大道、重陽路、三和路等主要幹道交會）占 11 件、占路口事故 6.3%。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「大馬路 × 巷弄」（大車道接小巷弄之典型情境）僅 1 件，幾乎不存在 — 與「巷弄突然冒車」的常見印象不符，三重區實際上「**大馬路與巷弄的物理銜接很少作為事故熱點**」。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4.2 各路口車道組合的主因分布（前 8 主因）</w:t>
      </w:r>
    </w:p>
    <w:p>
      <w:r>
        <w:rPr>
          <w:rFonts w:ascii="Noto Sans TC" w:hAnsi="Noto Sans TC" w:eastAsia="Noto Sans TC"/>
          <w:b w:val="0"/>
          <w:sz w:val="22"/>
        </w:rPr>
        <w:t>閱讀提示：每列為一個事故主因，欄為不同車道組合下該主因的件數；同列加總即該主因 4 年總件數。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主因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大馬路×大馬路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中型×雙線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雙線×雙線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雙線×單線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其他組合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左轉彎未依規定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未保持行車安全距離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其他未依規定讓車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9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車輛未停讓行人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闖紅燈直行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未注意車前狀態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尚未發現肇因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其他不當駕車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觀察：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「**左轉彎未依規定**」13/15 件集中在雙線×雙線路口 — 雙線道路口轉彎時的視線與時間判斷錯誤是主要殺手。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「**車輛未停讓行人**」7/8 件在雙線×雙線路口，1 件在大馬路 — 停讓行人問題集中在社區街道，不是大馬路。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「**闖紅燈直行**」雙線×雙線占 6/10。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五、車道規模 × 肇責方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5.1 各車道規模上誰肇事</w:t>
      </w:r>
    </w:p>
    <w:p>
      <w:r>
        <w:rPr>
          <w:rFonts w:ascii="Noto Sans TC" w:hAnsi="Noto Sans TC" w:eastAsia="Noto Sans TC"/>
          <w:b w:val="0"/>
          <w:sz w:val="22"/>
        </w:rPr>
        <w:t>閱讀提示：每列為車道規模，分母為該規模事故總件數；橫向加總即該規模件數。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車道規模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成人駕駛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青少年自肇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兒童自肇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對方肇逃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無責歸屬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合計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成人駕駛占比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🔴 大馬路（≥4 線）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13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76.5%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🟠 中型（3 線）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34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61.8%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🟡 雙線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145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39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27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222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65.3%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🟢 單線/巷弄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86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59.3%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未對應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0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—</w:t>
            </w:r>
          </w:p>
        </w:tc>
      </w:tr>
      <w:tr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合計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235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69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17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41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365</w:t>
            </w:r>
          </w:p>
        </w:tc>
        <w:tc>
          <w:tcPr>
            <w:tcW w:type="dxa" w:w="108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64.4%</w:t>
            </w:r>
          </w:p>
        </w:tc>
      </w:tr>
    </w:tbl>
    <w:p>
      <w:r>
        <w:rPr>
          <w:rFonts w:ascii="Noto Sans TC" w:hAnsi="Noto Sans TC" w:eastAsia="Noto Sans TC"/>
          <w:b/>
          <w:sz w:val="22"/>
        </w:rPr>
        <w:t>觀察：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成人駕駛肇事比例隨車道規模上升而上升（巷弄 59% → 大馬路 77%），合理反映大馬路速度與動力均較大、駕駛行為對結果影響更大。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青少年自肇集中於雙線（39 件）與巷弄（21 件），與青少年通勤路徑（自行車、機車、微電二輪）一致。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兒童自肇 17 件中 10 件在雙線、6 件在巷弄，多為兒童自行車或行人在社區街道。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六、Top 15 熱點路口（含車道資訊）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排名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路口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件數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車道組合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主要肇因（第一名）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/>
                <w:sz w:val="20"/>
              </w:rPr>
              <w:t>成人駕駛肇事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中正北路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11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中型 × 單線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有號誌路口轉彎車未讓直行車先行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三和路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單線 × 單線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闖紅燈直行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溪尾街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5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雙線 × 雙線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無號誌路口轉彎車未讓直行車先行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新北大道 × 重陽路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中型 × 雙線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未保持行車安全距離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三信路 × 五華街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雙線 × 雙線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未保持行車安全距離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三民街 × 忠孝路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雙線 × 雙線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車輛未停讓行人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4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忠孝路 × 自強路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雙線 × 雙線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闖紅燈直行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成功路 × 環河南路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雙線 × 雙線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未保持行車安全距離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新北大道 × 水漾路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雙線 × 雙線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左轉彎未依規定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仁愛街 × 自強路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雙線 × 雙線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恍神／分心駕駛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重安街 × 重新路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大馬路 × 大馬路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有號誌路口轉彎車未讓直行車先行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環河北路 × 龍門路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雙線 × 雙線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其他未依規定讓車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7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河邊北街 × 環河北路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3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雙線 × 雙線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未保持行車安全距離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大智街 × 後竹圍街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雙線 × 雙線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違反閃光號誌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</w:tr>
      <w:tr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14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三和路 × 仁愛街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2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雙線 × 單線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尚未發現肇事因素</w:t>
            </w:r>
          </w:p>
        </w:tc>
        <w:tc>
          <w:tcPr>
            <w:tcW w:type="dxa" w:w="1440"/>
          </w:tcPr>
          <w:p>
            <w:r/>
            <w:r>
              <w:rPr>
                <w:rFonts w:ascii="Noto Sans TC" w:hAnsi="Noto Sans TC" w:eastAsia="Noto Sans TC"/>
                <w:b w:val="0"/>
                <w:sz w:val="20"/>
              </w:rPr>
              <w:t>1</w:t>
            </w:r>
          </w:p>
        </w:tc>
      </w:tr>
    </w:tbl>
    <w:p>
      <w:r>
        <w:rPr>
          <w:rFonts w:ascii="Noto Sans TC" w:hAnsi="Noto Sans TC" w:eastAsia="Noto Sans TC"/>
          <w:b w:val="0"/>
          <w:sz w:val="22"/>
        </w:rPr>
        <w:t>觀察：Top 15 熱點路口中，**11 個為雙線×雙線組合**、僅 1 個為大馬路×大馬路（重安街 × 重新路）。記者會現場最有戲劇張力的不是大馬路，是**社區雙線道路口**。三民街 × 忠孝路（4 件）以「車輛未停讓行人」為主因，是雙線道行人安全的典型案例。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七、政策建議（針對三重區）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7.1 改變政策重心：從「大馬路安全」轉向「社區雙線道安全」</w:t>
      </w:r>
    </w:p>
    <w:p>
      <w:r>
        <w:rPr>
          <w:rFonts w:ascii="Noto Sans TC" w:hAnsi="Noto Sans TC" w:eastAsia="Noto Sans TC"/>
          <w:b w:val="0"/>
          <w:sz w:val="22"/>
        </w:rPr>
        <w:t>過去交通安全政策多聚焦於高速公路、省道、市區主幹道；本報告證實在三重區，60% 以上兒少事故發生在「社區雙線道路」與「巷弄」，而非「大馬路」。政策資源應重新分配：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「社區人本街道」改造：雙線道社區街道導入降速設施（減速丘、路口縮減、視覺寬度收窄）。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社區路口優先讓行：每個雙線道交叉口檢視「停／讓」標誌與行人號誌時相。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AI 違規偵測佈建至社區雙線路口（過去多集中於主幹道）。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7.2 雙線道路口轉彎安全</w:t>
      </w:r>
    </w:p>
    <w:p>
      <w:r>
        <w:rPr>
          <w:rFonts w:ascii="Noto Sans TC" w:hAnsi="Noto Sans TC" w:eastAsia="Noto Sans TC"/>
          <w:b/>
          <w:sz w:val="22"/>
        </w:rPr>
        <w:t>「左轉彎未依規定」13/15 件、「轉彎車未讓直行車」多件均在雙線雙線路口。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社區雙線路口設置「左轉專用時相」（保護式左轉），消除左轉與直行衝突。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學區雙線路口檢視左轉視線障礙（停車位、電桿）。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學區與住宅區內所有閃光號誌路口檢討升級為三色號誌。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7.3 雙線道行人保護</w:t>
      </w:r>
    </w:p>
    <w:p>
      <w:r>
        <w:rPr>
          <w:rFonts w:ascii="Noto Sans TC" w:hAnsi="Noto Sans TC" w:eastAsia="Noto Sans TC"/>
          <w:b/>
          <w:sz w:val="22"/>
        </w:rPr>
        <w:t>「車輛未停讓行人」事故 7/8 件在雙線×雙線路口；「三民街 × 忠孝路」單一路口 4 件。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三民街 × 忠孝路、三信路 × 五華街、忠孝路 × 自強路、河邊北街 × 環河北路四個雙線×雙線路口列為三重區「行人優先示範路口」。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停讓行人取締專案：交通分隊定期巡邏、AI 違規辨識安裝。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行人穿越線退縮設計、增加行人庇護島。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7.4 三和路、中正北路熱點處理</w:t>
      </w:r>
    </w:p>
    <w:p>
      <w:r>
        <w:rPr>
          <w:rFonts w:ascii="Noto Sans TC" w:hAnsi="Noto Sans TC" w:eastAsia="Noto Sans TC"/>
          <w:b/>
          <w:sz w:val="22"/>
        </w:rPr>
        <w:t>中正北路 11 件（中型路）、三和路 7 件（單線路段為主）為三重區事故最密集路名。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中正北路全線「轉彎車未讓直行車」專項取締，含中正北路 × 穀保街、中正北路 × 仁愛街等。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三和路四段、五段直線追撞與闖紅燈直行專項取締。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兩條路檢視速限合理性（目前 50 km/h，應視交通流量考慮降至 40 km/h）。</w:t>
      </w:r>
    </w:p>
    <w:p>
      <w:pPr>
        <w:pStyle w:val="Heading2"/>
      </w:pPr>
      <w:r>
        <w:rPr>
          <w:rFonts w:ascii="Noto Sans TC" w:hAnsi="Noto Sans TC" w:eastAsia="Noto Sans TC"/>
          <w:b/>
          <w:color w:val="654994"/>
          <w:sz w:val="28"/>
        </w:rPr>
        <w:t>7.5 青少年駕駛 — 雙線道為主場</w:t>
      </w:r>
    </w:p>
    <w:p>
      <w:r>
        <w:rPr>
          <w:rFonts w:ascii="Noto Sans TC" w:hAnsi="Noto Sans TC" w:eastAsia="Noto Sans TC"/>
          <w:b/>
          <w:sz w:val="22"/>
        </w:rPr>
        <w:t>三重區青少年自肇 69 件，其中 39 件（57%）發生在雙線道。青少年機車與微電二輪駕駛集中在社區雙線道。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三重區國高中與職校通學路徑「雙線道」段優先納入駕駛前教育案例。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社區雙線道學區夜間 20–22 時加強取締（青少年事故時段熱點）。</w:t>
      </w:r>
    </w:p>
    <w:p>
      <w:pPr>
        <w:pStyle w:val="Heading1"/>
      </w:pPr>
      <w:r>
        <w:rPr>
          <w:rFonts w:ascii="Noto Sans TC" w:hAnsi="Noto Sans TC" w:eastAsia="Noto Sans TC"/>
          <w:b/>
          <w:color w:val="654994"/>
          <w:sz w:val="36"/>
        </w:rPr>
        <w:t>八、資料附錄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三重 2025 兒少事故含 OSM 車道資料：data/traffic_accident/sanchong_2025_final.csv（365 件）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OSM 三重道路網原始 JSON：data/traffic_accident/osm/sanchong_highways.json（24,930 道路節點）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車道分析摘要 JSON：data/traffic_accident/osm/sanchong_summary.json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原始事故資料：data/traffic_accident/twin_city_all_parties.csv（53,627 列）</w:t>
      </w:r>
    </w:p>
    <w:p>
      <w:r>
        <w:rPr>
          <w:rFonts w:ascii="Noto Sans TC" w:hAnsi="Noto Sans TC" w:eastAsia="Noto Sans TC"/>
          <w:b w:val="0"/>
          <w:sz w:val="22"/>
        </w:rPr>
        <w:t>技術備註：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OSM 資料快照時間：2026-05-12，與事故發生期間（2025 全年）可能有道路改建落差。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OSM lanes 標籤未涵蓋之道路依 highway 類型推估，可能與實際車道數有 ±1 線的誤差。</w:t>
      </w:r>
    </w:p>
    <w:p>
      <w:pPr>
        <w:pStyle w:val="ListBullet"/>
      </w:pPr>
      <w:r>
        <w:rPr>
          <w:rFonts w:ascii="Noto Sans TC" w:hAnsi="Noto Sans TC" w:eastAsia="Noto Sans TC"/>
          <w:b w:val="0"/>
          <w:sz w:val="22"/>
        </w:rPr>
        <w:t>「車道組合」以路口附近最近的兩條 OSM 道路 lanes 標籤決定；少數路名為新北市三重區的舊名或自訂街名，OSM 無對應紀錄者已標示「未能配對」。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TC" w:hAnsi="Noto Sans TC" w:eastAsia="Noto Sans T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